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7D4D57" w:rsidP="00D238E8">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МАЛОГРИБАНОВСКОГО </w:t>
      </w:r>
      <w:r w:rsidR="00E65AFD" w:rsidRPr="00D238E8">
        <w:rPr>
          <w:rFonts w:ascii="Times New Roman" w:eastAsia="Times New Roman" w:hAnsi="Times New Roman" w:cs="Times New Roman"/>
          <w:color w:val="auto"/>
          <w:sz w:val="28"/>
          <w:szCs w:val="28"/>
          <w:lang w:bidi="ar-SA"/>
        </w:rPr>
        <w:t>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 ______________ 2023 г. № ____</w:t>
      </w:r>
    </w:p>
    <w:p w:rsidR="00E65AFD" w:rsidRPr="00D238E8" w:rsidRDefault="00E65AFD" w:rsidP="00D238E8">
      <w:pPr>
        <w:widowControl/>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 xml:space="preserve">с. </w:t>
      </w:r>
      <w:r w:rsidR="007D4D57">
        <w:rPr>
          <w:rFonts w:ascii="Times New Roman" w:eastAsia="Times New Roman" w:hAnsi="Times New Roman" w:cs="Times New Roman"/>
          <w:color w:val="auto"/>
          <w:sz w:val="28"/>
          <w:szCs w:val="28"/>
          <w:lang w:bidi="ar-SA"/>
        </w:rPr>
        <w:t xml:space="preserve"> Малая Грибановка</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7D4D57">
        <w:rPr>
          <w:rFonts w:ascii="Times New Roman" w:eastAsia="Times New Roman" w:hAnsi="Times New Roman" w:cs="Times New Roman"/>
          <w:b/>
          <w:color w:val="auto"/>
          <w:sz w:val="28"/>
          <w:szCs w:val="28"/>
          <w:lang w:bidi="ar-SA"/>
        </w:rPr>
        <w:t xml:space="preserve"> </w:t>
      </w:r>
      <w:r w:rsidR="007D4D57" w:rsidRPr="007D4D57">
        <w:rPr>
          <w:rFonts w:ascii="Times New Roman" w:eastAsia="Times New Roman" w:hAnsi="Times New Roman" w:cs="Times New Roman"/>
          <w:color w:val="auto"/>
          <w:sz w:val="28"/>
          <w:szCs w:val="28"/>
          <w:lang w:bidi="ar-SA"/>
        </w:rPr>
        <w:t>Малогрибановского</w:t>
      </w:r>
      <w:r w:rsidR="00E65AFD" w:rsidRPr="007D4D57">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7D4D57">
        <w:rPr>
          <w:rFonts w:ascii="Times New Roman" w:eastAsia="Times New Roman" w:hAnsi="Times New Roman" w:cs="Times New Roman"/>
          <w:color w:val="auto"/>
          <w:sz w:val="28"/>
          <w:szCs w:val="28"/>
          <w:lang w:bidi="ar-SA"/>
        </w:rPr>
        <w:t xml:space="preserve"> Малогрибановского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на территории</w:t>
      </w:r>
      <w:r w:rsidR="007D4D57">
        <w:rPr>
          <w:rFonts w:ascii="Times New Roman" w:hAnsi="Times New Roman" w:cs="Times New Roman"/>
          <w:sz w:val="28"/>
          <w:szCs w:val="28"/>
        </w:rPr>
        <w:t xml:space="preserve"> </w:t>
      </w:r>
      <w:r w:rsidR="007D4D57">
        <w:rPr>
          <w:rFonts w:ascii="Times New Roman" w:eastAsia="Times New Roman" w:hAnsi="Times New Roman" w:cs="Times New Roman"/>
          <w:color w:val="auto"/>
          <w:sz w:val="28"/>
          <w:szCs w:val="28"/>
          <w:lang w:bidi="ar-SA"/>
        </w:rPr>
        <w:t>Малогрибановского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w:t>
      </w:r>
      <w:r w:rsidR="00E65AFD" w:rsidRPr="00D238E8">
        <w:rPr>
          <w:rFonts w:ascii="Times New Roman" w:eastAsia="Times New Roman" w:hAnsi="Times New Roman" w:cs="Times New Roman"/>
          <w:color w:val="auto"/>
          <w:sz w:val="28"/>
          <w:szCs w:val="28"/>
          <w:lang w:bidi="ar-SA"/>
        </w:rPr>
        <w:lastRenderedPageBreak/>
        <w:t>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7D4D57">
        <w:rPr>
          <w:rFonts w:ascii="Times New Roman" w:eastAsia="Times New Roman" w:hAnsi="Times New Roman" w:cs="Times New Roman"/>
          <w:color w:val="auto"/>
          <w:sz w:val="28"/>
          <w:szCs w:val="28"/>
          <w:lang w:bidi="ar-SA"/>
        </w:rPr>
        <w:t xml:space="preserve">Малогрибановского </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7D4D57" w:rsidP="00D238E8">
      <w:pPr>
        <w:pStyle w:val="Title"/>
        <w:spacing w:before="0" w:after="0"/>
        <w:ind w:firstLine="709"/>
        <w:jc w:val="both"/>
        <w:rPr>
          <w:rFonts w:ascii="Times New Roman" w:hAnsi="Times New Roman" w:cs="Times New Roman"/>
          <w:sz w:val="28"/>
          <w:szCs w:val="28"/>
        </w:rPr>
      </w:pPr>
      <w:r>
        <w:rPr>
          <w:rFonts w:ascii="Times New Roman" w:hAnsi="Times New Roman" w:cs="Times New Roman"/>
          <w:b w:val="0"/>
          <w:sz w:val="28"/>
          <w:szCs w:val="28"/>
        </w:rPr>
        <w:t>- от «10» сентября</w:t>
      </w:r>
      <w:r w:rsidR="000E219B" w:rsidRPr="00D238E8">
        <w:rPr>
          <w:rFonts w:ascii="Times New Roman" w:hAnsi="Times New Roman" w:cs="Times New Roman"/>
          <w:b w:val="0"/>
          <w:sz w:val="28"/>
          <w:szCs w:val="28"/>
        </w:rPr>
        <w:t xml:space="preserve"> 2020</w:t>
      </w:r>
      <w:r>
        <w:rPr>
          <w:rFonts w:ascii="Times New Roman" w:hAnsi="Times New Roman" w:cs="Times New Roman"/>
          <w:b w:val="0"/>
          <w:sz w:val="28"/>
          <w:szCs w:val="28"/>
        </w:rPr>
        <w:t xml:space="preserve"> г. № 34</w:t>
      </w:r>
      <w:r w:rsidR="004A0254"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Pr="007D4D57">
        <w:rPr>
          <w:rFonts w:ascii="Times New Roman" w:hAnsi="Times New Roman" w:cs="Times New Roman"/>
          <w:b w:val="0"/>
          <w:sz w:val="28"/>
          <w:szCs w:val="28"/>
        </w:rPr>
        <w:t>Малогрибановского</w:t>
      </w:r>
      <w:r>
        <w:rPr>
          <w:rFonts w:ascii="Times New Roman" w:eastAsia="SimSun" w:hAnsi="Times New Roman" w:cs="Times New Roman"/>
          <w:b w:val="0"/>
          <w:sz w:val="28"/>
          <w:szCs w:val="28"/>
          <w:lang w:eastAsia="hi-IN" w:bidi="hi-IN"/>
        </w:rPr>
        <w:t xml:space="preserve"> </w:t>
      </w:r>
      <w:r w:rsidR="000E219B" w:rsidRPr="00D238E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004A0254" w:rsidRPr="00D238E8">
        <w:rPr>
          <w:rFonts w:ascii="Times New Roman" w:hAnsi="Times New Roman" w:cs="Times New Roman"/>
          <w:sz w:val="28"/>
          <w:szCs w:val="28"/>
        </w:rPr>
        <w:t>;</w:t>
      </w:r>
    </w:p>
    <w:p w:rsidR="004A0254" w:rsidRPr="00D238E8" w:rsidRDefault="007D4D57" w:rsidP="00D238E8">
      <w:pPr>
        <w:pStyle w:val="Title"/>
        <w:spacing w:before="0" w:after="0"/>
        <w:ind w:firstLine="709"/>
        <w:jc w:val="both"/>
        <w:rPr>
          <w:rFonts w:ascii="Times New Roman" w:hAnsi="Times New Roman" w:cs="Times New Roman"/>
          <w:sz w:val="28"/>
          <w:szCs w:val="28"/>
        </w:rPr>
      </w:pPr>
      <w:proofErr w:type="gramStart"/>
      <w:r>
        <w:rPr>
          <w:rFonts w:ascii="Times New Roman" w:hAnsi="Times New Roman" w:cs="Times New Roman"/>
          <w:b w:val="0"/>
          <w:sz w:val="28"/>
          <w:szCs w:val="28"/>
        </w:rPr>
        <w:t>- от «17</w:t>
      </w:r>
      <w:r w:rsidR="004A0254" w:rsidRPr="00D238E8">
        <w:rPr>
          <w:rFonts w:ascii="Times New Roman" w:hAnsi="Times New Roman" w:cs="Times New Roman"/>
          <w:b w:val="0"/>
          <w:sz w:val="28"/>
          <w:szCs w:val="28"/>
        </w:rPr>
        <w:t>»</w:t>
      </w:r>
      <w:r>
        <w:rPr>
          <w:rFonts w:ascii="Times New Roman" w:hAnsi="Times New Roman" w:cs="Times New Roman"/>
          <w:b w:val="0"/>
          <w:sz w:val="28"/>
          <w:szCs w:val="28"/>
        </w:rPr>
        <w:t xml:space="preserve"> апреля</w:t>
      </w:r>
      <w:r w:rsidR="000E219B" w:rsidRPr="00D238E8">
        <w:rPr>
          <w:rFonts w:ascii="Times New Roman" w:hAnsi="Times New Roman" w:cs="Times New Roman"/>
          <w:b w:val="0"/>
          <w:sz w:val="28"/>
          <w:szCs w:val="28"/>
        </w:rPr>
        <w:t xml:space="preserve"> 2023 </w:t>
      </w:r>
      <w:r>
        <w:rPr>
          <w:rFonts w:ascii="Times New Roman" w:hAnsi="Times New Roman" w:cs="Times New Roman"/>
          <w:b w:val="0"/>
          <w:sz w:val="28"/>
          <w:szCs w:val="28"/>
        </w:rPr>
        <w:t>г. № 17</w:t>
      </w:r>
      <w:r w:rsidR="004A0254"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r>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 </w:t>
      </w:r>
      <w:r w:rsidRPr="007D4D57">
        <w:rPr>
          <w:rFonts w:ascii="Times New Roman" w:hAnsi="Times New Roman" w:cs="Times New Roman"/>
          <w:b w:val="0"/>
          <w:sz w:val="28"/>
          <w:szCs w:val="28"/>
        </w:rPr>
        <w:t>Малогрибановского</w:t>
      </w:r>
      <w:r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Pr="007D4D57">
        <w:rPr>
          <w:rFonts w:ascii="Times New Roman" w:hAnsi="Times New Roman" w:cs="Times New Roman"/>
          <w:b w:val="0"/>
          <w:sz w:val="28"/>
          <w:szCs w:val="28"/>
        </w:rPr>
        <w:t>Малогрибановского</w:t>
      </w:r>
      <w:r>
        <w:rPr>
          <w:rFonts w:ascii="Times New Roman" w:hAnsi="Times New Roman" w:cs="Times New Roman"/>
          <w:b w:val="0"/>
          <w:sz w:val="28"/>
          <w:szCs w:val="28"/>
        </w:rPr>
        <w:t xml:space="preserve"> </w:t>
      </w:r>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w:t>
      </w:r>
      <w:r>
        <w:rPr>
          <w:rFonts w:ascii="Times New Roman" w:hAnsi="Times New Roman" w:cs="Times New Roman"/>
          <w:b w:val="0"/>
          <w:sz w:val="28"/>
          <w:szCs w:val="28"/>
        </w:rPr>
        <w:t>й области от 10.09</w:t>
      </w:r>
      <w:r w:rsidR="0057577E" w:rsidRPr="00D238E8">
        <w:rPr>
          <w:rFonts w:ascii="Times New Roman" w:hAnsi="Times New Roman" w:cs="Times New Roman"/>
          <w:b w:val="0"/>
          <w:sz w:val="28"/>
          <w:szCs w:val="28"/>
        </w:rPr>
        <w:t>. 2020</w:t>
      </w:r>
      <w:r>
        <w:rPr>
          <w:rFonts w:ascii="Times New Roman" w:hAnsi="Times New Roman" w:cs="Times New Roman"/>
          <w:b w:val="0"/>
          <w:sz w:val="28"/>
          <w:szCs w:val="28"/>
        </w:rPr>
        <w:t xml:space="preserve">г. </w:t>
      </w:r>
      <w:r w:rsidR="0057577E" w:rsidRPr="00D238E8">
        <w:rPr>
          <w:rFonts w:ascii="Times New Roman" w:hAnsi="Times New Roman" w:cs="Times New Roman"/>
          <w:b w:val="0"/>
          <w:sz w:val="28"/>
          <w:szCs w:val="28"/>
        </w:rPr>
        <w:t xml:space="preserve"> № </w:t>
      </w:r>
      <w:r>
        <w:rPr>
          <w:rFonts w:ascii="Times New Roman" w:hAnsi="Times New Roman" w:cs="Times New Roman"/>
          <w:b w:val="0"/>
          <w:sz w:val="28"/>
          <w:szCs w:val="28"/>
        </w:rPr>
        <w:t>34</w:t>
      </w:r>
      <w:r w:rsidR="00EF2C36" w:rsidRPr="00D238E8">
        <w:rPr>
          <w:rFonts w:ascii="Times New Roman" w:hAnsi="Times New Roman" w:cs="Times New Roman"/>
          <w:sz w:val="28"/>
          <w:szCs w:val="28"/>
        </w:rPr>
        <w:t>»</w:t>
      </w:r>
      <w:r w:rsidR="004A0254"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Настоящее постановление вступает в силу со дня его официального опубликования в вестнике муниципальных правовых актов</w:t>
      </w:r>
      <w:r w:rsidR="007D4D57">
        <w:rPr>
          <w:rFonts w:ascii="Times New Roman" w:eastAsia="Times New Roman" w:hAnsi="Times New Roman" w:cs="Times New Roman"/>
          <w:color w:val="auto"/>
          <w:sz w:val="28"/>
          <w:szCs w:val="28"/>
          <w:lang w:bidi="ar-SA"/>
        </w:rPr>
        <w:t xml:space="preserve"> Малогрибановского</w:t>
      </w:r>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7D4D57">
        <w:rPr>
          <w:rFonts w:ascii="Times New Roman" w:eastAsia="Times New Roman" w:hAnsi="Times New Roman" w:cs="Times New Roman"/>
          <w:color w:val="auto"/>
          <w:sz w:val="28"/>
          <w:szCs w:val="28"/>
          <w:lang w:bidi="ar-SA"/>
        </w:rPr>
        <w:t xml:space="preserve">Малогрибановского </w:t>
      </w:r>
      <w:r w:rsidR="00E65AFD" w:rsidRPr="00D238E8">
        <w:rPr>
          <w:rFonts w:ascii="Times New Roman" w:eastAsia="Times New Roman" w:hAnsi="Times New Roman" w:cs="Times New Roman"/>
          <w:color w:val="auto"/>
          <w:sz w:val="28"/>
          <w:szCs w:val="28"/>
          <w:lang w:bidi="ar-SA"/>
        </w:rPr>
        <w:t xml:space="preserve">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7D4D57" w:rsidP="00D238E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Л.Н. Корнеева</w:t>
            </w:r>
            <w:r w:rsidR="004A0254" w:rsidRP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7D4D57" w:rsidP="00D238E8">
      <w:pPr>
        <w:ind w:firstLine="709"/>
        <w:jc w:val="right"/>
        <w:rPr>
          <w:rFonts w:ascii="Times New Roman" w:eastAsia="Times New Roman" w:hAnsi="Times New Roman" w:cs="Times New Roman"/>
          <w:bCs/>
          <w:kern w:val="28"/>
          <w:sz w:val="28"/>
          <w:szCs w:val="28"/>
        </w:rPr>
      </w:pPr>
      <w:r>
        <w:rPr>
          <w:rFonts w:ascii="Times New Roman" w:hAnsi="Times New Roman" w:cs="Times New Roman"/>
          <w:sz w:val="28"/>
          <w:szCs w:val="28"/>
        </w:rPr>
        <w:t xml:space="preserve"> Малогрибановского </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«__»__________2023 г. № ___</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1C49EF">
        <w:rPr>
          <w:b/>
          <w:i w:val="0"/>
          <w:sz w:val="28"/>
          <w:szCs w:val="28"/>
        </w:rPr>
        <w:t xml:space="preserve"> Малогрибановского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1C49EF">
        <w:t xml:space="preserve"> Малогрибановского </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1C49EF">
        <w:rPr>
          <w:rFonts w:ascii="Times New Roman" w:hAnsi="Times New Roman" w:cs="Times New Roman"/>
          <w:sz w:val="28"/>
          <w:szCs w:val="28"/>
        </w:rPr>
        <w:t xml:space="preserve"> </w:t>
      </w:r>
      <w:r w:rsidR="00D238E8">
        <w:rPr>
          <w:rFonts w:ascii="Times New Roman" w:hAnsi="Times New Roman" w:cs="Times New Roman"/>
          <w:sz w:val="28"/>
          <w:szCs w:val="28"/>
        </w:rPr>
        <w:t xml:space="preserve"> </w:t>
      </w:r>
      <w:r w:rsidR="001C49EF">
        <w:t>Малогрибановского</w:t>
      </w:r>
      <w:r w:rsidR="001C49EF" w:rsidRPr="00D238E8">
        <w:rPr>
          <w:rFonts w:ascii="Times New Roman" w:eastAsia="Times New Roman" w:hAnsi="Times New Roman" w:cs="Times New Roman"/>
          <w:bCs/>
          <w:kern w:val="28"/>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На официальном сайте </w:t>
      </w:r>
      <w:r w:rsidRPr="001C49EF">
        <w:rPr>
          <w:rFonts w:ascii="Times New Roman" w:hAnsi="Times New Roman" w:cs="Times New Roman"/>
          <w:spacing w:val="7"/>
          <w:sz w:val="28"/>
          <w:szCs w:val="28"/>
        </w:rPr>
        <w:t xml:space="preserve">Администрации </w:t>
      </w:r>
      <w:r w:rsidR="001C49EF" w:rsidRPr="001C49EF">
        <w:rPr>
          <w:rFonts w:ascii="Times New Roman" w:hAnsi="Times New Roman" w:cs="Times New Roman"/>
          <w:sz w:val="28"/>
          <w:szCs w:val="28"/>
        </w:rPr>
        <w:t>Малогрибановского сельского поселения</w:t>
      </w:r>
      <w:r w:rsidR="001C49EF" w:rsidRPr="001C49EF">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(http://</w:t>
      </w:r>
      <w:r w:rsidR="001C49EF" w:rsidRPr="001C49EF">
        <w:t xml:space="preserve"> </w:t>
      </w:r>
      <w:r w:rsidR="001C49EF" w:rsidRPr="001C49EF">
        <w:rPr>
          <w:rFonts w:ascii="Times New Roman" w:hAnsi="Times New Roman" w:cs="Times New Roman"/>
          <w:spacing w:val="7"/>
          <w:sz w:val="28"/>
          <w:szCs w:val="28"/>
        </w:rPr>
        <w:t>malogrib.grib@govvrn.ru</w:t>
      </w:r>
      <w:proofErr w:type="gramStart"/>
      <w:r w:rsidR="001C49EF">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w:t>
      </w:r>
      <w:proofErr w:type="gramEnd"/>
      <w:r w:rsidRPr="00D238E8">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1C49EF">
        <w:rPr>
          <w:b/>
        </w:rPr>
        <w:t xml:space="preserve"> </w:t>
      </w:r>
      <w:r w:rsidR="001C49EF" w:rsidRPr="001C49EF">
        <w:t>Малогрибановского</w:t>
      </w:r>
      <w:r w:rsidR="001C49EF">
        <w:rPr>
          <w:b/>
        </w:rPr>
        <w:t xml:space="preserve"> </w:t>
      </w:r>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w:t>
      </w:r>
      <w:r w:rsidR="001951DC">
        <w:rPr>
          <w:rFonts w:ascii="Times New Roman" w:hAnsi="Times New Roman" w:cs="Times New Roman"/>
          <w:sz w:val="28"/>
          <w:szCs w:val="28"/>
        </w:rPr>
        <w:t xml:space="preserve"> </w:t>
      </w:r>
      <w:r w:rsidR="001951DC" w:rsidRPr="001951DC">
        <w:rPr>
          <w:rFonts w:ascii="Times New Roman" w:hAnsi="Times New Roman" w:cs="Times New Roman"/>
          <w:sz w:val="28"/>
          <w:szCs w:val="28"/>
        </w:rPr>
        <w:t>Малогрибановского</w:t>
      </w:r>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r w:rsidR="001951DC" w:rsidRPr="001951DC">
        <w:rPr>
          <w:rFonts w:ascii="Times New Roman" w:hAnsi="Times New Roman" w:cs="Times New Roman"/>
          <w:sz w:val="28"/>
          <w:szCs w:val="28"/>
        </w:rPr>
        <w:t>Малогрибановского</w:t>
      </w:r>
      <w:r w:rsidR="001951DC">
        <w:rPr>
          <w:rFonts w:ascii="Times New Roman" w:eastAsia="Times New Roman" w:hAnsi="Times New Roman" w:cs="Times New Roman"/>
          <w:color w:val="auto"/>
          <w:sz w:val="28"/>
          <w:szCs w:val="28"/>
          <w:lang w:bidi="ar-SA"/>
        </w:rPr>
        <w:t xml:space="preserve"> </w:t>
      </w:r>
      <w:r w:rsidR="00F95CE5"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r w:rsidR="009237E5" w:rsidRPr="009237E5">
        <w:t xml:space="preserve"> </w:t>
      </w:r>
      <w:r w:rsidR="009237E5" w:rsidRPr="009237E5">
        <w:rPr>
          <w:sz w:val="28"/>
          <w:szCs w:val="28"/>
        </w:rPr>
        <w:t>malogrib.grib@govvrn.ru</w:t>
      </w:r>
      <w:r w:rsidR="009237E5">
        <w:rPr>
          <w:sz w:val="28"/>
          <w:szCs w:val="28"/>
        </w:rPr>
        <w:t xml:space="preserve"> </w:t>
      </w:r>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proofErr w:type="spellStart"/>
      <w:r w:rsidRPr="00D238E8">
        <w:rPr>
          <w:rFonts w:ascii="Times New Roman" w:hAnsi="Times New Roman" w:cs="Times New Roman"/>
          <w:sz w:val="28"/>
          <w:szCs w:val="28"/>
          <w:lang w:val="en-US"/>
        </w:rPr>
        <w:t>pdf</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9237E5">
        <w:rPr>
          <w:rFonts w:ascii="Times New Roman" w:hAnsi="Times New Roman" w:cs="Times New Roman"/>
          <w:sz w:val="28"/>
          <w:szCs w:val="28"/>
        </w:rPr>
        <w:t xml:space="preserve"> Малогрибановского</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r w:rsidR="009237E5">
        <w:rPr>
          <w:rFonts w:ascii="Times New Roman" w:hAnsi="Times New Roman"/>
          <w:sz w:val="28"/>
          <w:szCs w:val="28"/>
        </w:rPr>
        <w:t xml:space="preserve"> Малогрибановского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w:t>
      </w:r>
      <w:proofErr w:type="gramStart"/>
      <w:r w:rsidR="005F7140" w:rsidRPr="00D238E8">
        <w:t>контроль за</w:t>
      </w:r>
      <w:proofErr w:type="gramEnd"/>
      <w:r w:rsidR="005F7140" w:rsidRPr="00D238E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237E5">
        <w:t xml:space="preserve"> Малогрибановского </w:t>
      </w:r>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237E5">
        <w:rPr>
          <w:sz w:val="28"/>
          <w:szCs w:val="28"/>
        </w:rPr>
        <w:t xml:space="preserve"> Малогрибановского</w:t>
      </w:r>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238E8">
        <w:rPr>
          <w:rFonts w:ascii="Times New Roman" w:hAnsi="Times New Roman" w:cs="Times New Roman"/>
          <w:color w:val="auto"/>
          <w:sz w:val="28"/>
          <w:szCs w:val="28"/>
        </w:rPr>
        <w:lastRenderedPageBreak/>
        <w:t>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0" w:name="p39"/>
      <w:bookmarkEnd w:id="0"/>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1" w:name="p43"/>
      <w:bookmarkEnd w:id="1"/>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w:t>
      </w:r>
      <w:r w:rsidRPr="00D238E8">
        <w:rPr>
          <w:rFonts w:ascii="Times New Roman" w:hAnsi="Times New Roman" w:cs="Times New Roman"/>
          <w:color w:val="auto"/>
          <w:sz w:val="28"/>
          <w:szCs w:val="28"/>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2"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2"/>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6"/>
      <w:r w:rsidRPr="00D238E8">
        <w:rPr>
          <w:rFonts w:ascii="Times New Roman" w:hAnsi="Times New Roman" w:cs="Times New Roman"/>
          <w:color w:val="auto"/>
          <w:sz w:val="28"/>
          <w:szCs w:val="28"/>
        </w:rPr>
        <w:t>досудебного (внесудебного) обжалования действий</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7"/>
      <w:r w:rsidRPr="00D238E8">
        <w:rPr>
          <w:rFonts w:ascii="Times New Roman" w:hAnsi="Times New Roman" w:cs="Times New Roman"/>
          <w:color w:val="auto"/>
          <w:sz w:val="28"/>
          <w:szCs w:val="28"/>
        </w:rPr>
        <w:t>(бездействия) и (или) решений, принятых (осуществленных)</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8"/>
      <w:r w:rsidRPr="00D238E8">
        <w:rPr>
          <w:rFonts w:ascii="Times New Roman" w:hAnsi="Times New Roman" w:cs="Times New Roman"/>
          <w:color w:val="auto"/>
          <w:sz w:val="28"/>
          <w:szCs w:val="28"/>
        </w:rPr>
        <w:t>в ходе предоставления муниципальной услуги</w:t>
      </w:r>
      <w:bookmarkEnd w:id="5"/>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Default="00F029FE" w:rsidP="009237E5">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9237E5" w:rsidRPr="009237E5" w:rsidRDefault="009237E5" w:rsidP="009237E5">
      <w:pPr>
        <w:pStyle w:val="11"/>
        <w:tabs>
          <w:tab w:val="left" w:pos="0"/>
        </w:tabs>
        <w:ind w:firstLine="709"/>
        <w:jc w:val="both"/>
        <w:rPr>
          <w:spacing w:val="7"/>
        </w:rPr>
        <w:sectPr w:rsidR="009237E5" w:rsidRPr="009237E5" w:rsidSect="00C727DE">
          <w:headerReference w:type="default" r:id="rId8"/>
          <w:pgSz w:w="11900" w:h="16840"/>
          <w:pgMar w:top="1095" w:right="530" w:bottom="900" w:left="1232" w:header="667" w:footer="121" w:gutter="0"/>
          <w:pgNumType w:start="1"/>
          <w:cols w:space="720"/>
          <w:noEndnote/>
          <w:docGrid w:linePitch="360"/>
        </w:sectPr>
      </w:pPr>
    </w:p>
    <w:p w:rsidR="004A0254" w:rsidRPr="00D238E8" w:rsidRDefault="004A0254" w:rsidP="009237E5">
      <w:pPr>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 xml:space="preserve">Участок земли, который планируется использовать, поставлен </w:t>
            </w:r>
            <w:r w:rsidRPr="00D238E8">
              <w:rPr>
                <w:rFonts w:ascii="Times New Roman" w:hAnsi="Times New Roman" w:cs="Times New Roman"/>
                <w:sz w:val="28"/>
                <w:szCs w:val="28"/>
              </w:rPr>
              <w:lastRenderedPageBreak/>
              <w:t>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lastRenderedPageBreak/>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6" w:name="Par52"/>
      <w:bookmarkEnd w:id="6"/>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3"/>
      <w:bookmarkEnd w:id="7"/>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4"/>
      <w:bookmarkEnd w:id="8"/>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 порче 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9" w:name="Par46"/>
      <w:bookmarkEnd w:id="9"/>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7"/>
      <w:bookmarkEnd w:id="10"/>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пп.3 </w:t>
            </w:r>
            <w:r w:rsidRPr="00D238E8">
              <w:rPr>
                <w:rFonts w:ascii="Times New Roman" w:hAnsi="Times New Roman" w:cs="Times New Roman"/>
                <w:color w:val="auto"/>
                <w:sz w:val="28"/>
                <w:szCs w:val="28"/>
              </w:rPr>
              <w:lastRenderedPageBreak/>
              <w:t>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Земельный участок, на использование которого </w:t>
            </w:r>
            <w:r w:rsidRPr="00D238E8">
              <w:rPr>
                <w:rFonts w:ascii="Times New Roman" w:hAnsi="Times New Roman" w:cs="Times New Roman"/>
                <w:color w:val="auto"/>
                <w:sz w:val="28"/>
                <w:szCs w:val="28"/>
              </w:rPr>
              <w:lastRenderedPageBreak/>
              <w:t>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Указывается исчерпывающий перечень документов, содержащих подчистки и </w:t>
            </w:r>
            <w:r w:rsidRPr="00D238E8">
              <w:rPr>
                <w:rFonts w:ascii="Times New Roman" w:eastAsiaTheme="minorHAnsi" w:hAnsi="Times New Roman" w:cs="Times New Roman"/>
                <w:iCs/>
                <w:color w:val="auto"/>
                <w:sz w:val="28"/>
                <w:szCs w:val="28"/>
                <w:lang w:eastAsia="en-US" w:bidi="ar-SA"/>
              </w:rPr>
              <w:lastRenderedPageBreak/>
              <w:t>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bookmarkStart w:id="11" w:name="_GoBack"/>
      <w:bookmarkEnd w:id="11"/>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sectPr w:rsidR="00E46337" w:rsidRPr="00D238E8" w:rsidSect="009237E5">
      <w:headerReference w:type="even" r:id="rId9"/>
      <w:headerReference w:type="default" r:id="rId10"/>
      <w:pgSz w:w="11900" w:h="16840"/>
      <w:pgMar w:top="1135" w:right="567" w:bottom="567" w:left="1701" w:header="0" w:footer="125"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9BB" w:rsidRDefault="009859BB">
      <w:r>
        <w:separator/>
      </w:r>
    </w:p>
  </w:endnote>
  <w:endnote w:type="continuationSeparator" w:id="0">
    <w:p w:rsidR="009859BB" w:rsidRDefault="00985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9BB" w:rsidRDefault="009859BB">
      <w:r>
        <w:separator/>
      </w:r>
    </w:p>
  </w:footnote>
  <w:footnote w:type="continuationSeparator" w:id="0">
    <w:p w:rsidR="009859BB" w:rsidRDefault="00985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7501"/>
      <w:docPartObj>
        <w:docPartGallery w:val="Page Numbers (Top of Page)"/>
        <w:docPartUnique/>
      </w:docPartObj>
    </w:sdtPr>
    <w:sdtContent>
      <w:p w:rsidR="001951DC" w:rsidRDefault="001951DC">
        <w:pPr>
          <w:pStyle w:val="af5"/>
          <w:jc w:val="center"/>
        </w:pPr>
        <w:fldSimple w:instr="PAGE   \* MERGEFORMAT">
          <w:r w:rsidR="009237E5">
            <w:rPr>
              <w:noProof/>
            </w:rPr>
            <w:t>8</w:t>
          </w:r>
        </w:fldSimple>
      </w:p>
    </w:sdtContent>
  </w:sdt>
  <w:p w:rsidR="001951DC" w:rsidRDefault="001951DC">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DC" w:rsidRDefault="001951D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DC" w:rsidRDefault="001951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0254"/>
    <w:rsid w:val="00013CD3"/>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51DC"/>
    <w:rsid w:val="00195D71"/>
    <w:rsid w:val="001B199D"/>
    <w:rsid w:val="001C49EF"/>
    <w:rsid w:val="00222E05"/>
    <w:rsid w:val="002339BA"/>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7577E"/>
    <w:rsid w:val="005F7140"/>
    <w:rsid w:val="00694136"/>
    <w:rsid w:val="006E2C63"/>
    <w:rsid w:val="006F74E2"/>
    <w:rsid w:val="0071099C"/>
    <w:rsid w:val="0072509C"/>
    <w:rsid w:val="007263DB"/>
    <w:rsid w:val="007319DC"/>
    <w:rsid w:val="00745366"/>
    <w:rsid w:val="00753AB4"/>
    <w:rsid w:val="00793FFF"/>
    <w:rsid w:val="007C4BBF"/>
    <w:rsid w:val="007D4D57"/>
    <w:rsid w:val="007D679F"/>
    <w:rsid w:val="00812385"/>
    <w:rsid w:val="00832CE0"/>
    <w:rsid w:val="00842BA3"/>
    <w:rsid w:val="00853924"/>
    <w:rsid w:val="00873FC1"/>
    <w:rsid w:val="008906B4"/>
    <w:rsid w:val="008B51ED"/>
    <w:rsid w:val="008E02E8"/>
    <w:rsid w:val="009237E5"/>
    <w:rsid w:val="0093500B"/>
    <w:rsid w:val="0093593A"/>
    <w:rsid w:val="00941625"/>
    <w:rsid w:val="009859BB"/>
    <w:rsid w:val="009A1C8D"/>
    <w:rsid w:val="009D662B"/>
    <w:rsid w:val="009F098E"/>
    <w:rsid w:val="00A148BD"/>
    <w:rsid w:val="00A371EE"/>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E1398"/>
    <w:rsid w:val="00FF0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8D10-7500-4050-A764-3E664C96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53</Pages>
  <Words>17803</Words>
  <Characters>101479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Malogrib</cp:lastModifiedBy>
  <cp:revision>71</cp:revision>
  <dcterms:created xsi:type="dcterms:W3CDTF">2023-05-21T20:46:00Z</dcterms:created>
  <dcterms:modified xsi:type="dcterms:W3CDTF">2023-08-30T08:27:00Z</dcterms:modified>
</cp:coreProperties>
</file>