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AA6CC2" w:rsidP="000D1AC7">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A709A6" w:rsidP="000D1AC7">
      <w:pPr>
        <w:ind w:firstLine="709"/>
        <w:rPr>
          <w:rFonts w:ascii="Times New Roman" w:hAnsi="Times New Roman"/>
          <w:sz w:val="28"/>
          <w:szCs w:val="28"/>
        </w:rPr>
      </w:pPr>
      <w:r w:rsidRPr="000D1AC7">
        <w:rPr>
          <w:rFonts w:ascii="Times New Roman" w:hAnsi="Times New Roman"/>
          <w:sz w:val="28"/>
          <w:szCs w:val="28"/>
        </w:rPr>
        <w:t xml:space="preserve">с. </w:t>
      </w:r>
      <w:r w:rsidR="00AA6CC2">
        <w:rPr>
          <w:rFonts w:ascii="Times New Roman" w:hAnsi="Times New Roman"/>
          <w:sz w:val="28"/>
          <w:szCs w:val="28"/>
        </w:rPr>
        <w:t xml:space="preserve"> Малая Грибановка</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AA6CC2">
        <w:rPr>
          <w:rFonts w:ascii="Times New Roman" w:hAnsi="Times New Roman" w:cs="Times New Roman"/>
          <w:b w:val="0"/>
          <w:bCs w:val="0"/>
          <w:kern w:val="0"/>
          <w:sz w:val="28"/>
          <w:szCs w:val="28"/>
        </w:rPr>
        <w:t xml:space="preserve"> Малогрибановского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A6CC2">
        <w:rPr>
          <w:rFonts w:ascii="Times New Roman" w:hAnsi="Times New Roman"/>
          <w:sz w:val="28"/>
          <w:szCs w:val="28"/>
        </w:rPr>
        <w:t xml:space="preserve">Малогрибановского </w:t>
      </w:r>
      <w:r w:rsidR="00A709A6"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AA6CC2">
        <w:rPr>
          <w:rFonts w:ascii="Times New Roman" w:hAnsi="Times New Roman"/>
          <w:sz w:val="28"/>
          <w:szCs w:val="28"/>
        </w:rPr>
        <w:t xml:space="preserve"> Малогрибановского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AA6CC2">
        <w:rPr>
          <w:rFonts w:ascii="Times New Roman" w:hAnsi="Times New Roman"/>
          <w:sz w:val="28"/>
          <w:szCs w:val="28"/>
        </w:rPr>
        <w:t xml:space="preserve"> Малогрибановского</w:t>
      </w:r>
      <w:r w:rsidR="00E504FE">
        <w:rPr>
          <w:rFonts w:ascii="Times New Roman" w:hAnsi="Times New Roman"/>
          <w:sz w:val="28"/>
          <w:szCs w:val="28"/>
        </w:rPr>
        <w:t xml:space="preserve"> </w:t>
      </w:r>
      <w:r w:rsidR="00E325FD" w:rsidRPr="000D1AC7">
        <w:rPr>
          <w:rFonts w:ascii="Times New Roman" w:hAnsi="Times New Roman"/>
          <w:sz w:val="28"/>
          <w:szCs w:val="28"/>
        </w:rPr>
        <w:t>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AA6CC2">
        <w:rPr>
          <w:rFonts w:ascii="Times New Roman" w:hAnsi="Times New Roman"/>
          <w:sz w:val="28"/>
          <w:szCs w:val="28"/>
        </w:rPr>
        <w:t>«17» 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AA6CC2">
        <w:rPr>
          <w:rFonts w:ascii="Times New Roman" w:hAnsi="Times New Roman"/>
          <w:sz w:val="28"/>
          <w:szCs w:val="28"/>
        </w:rPr>
        <w:t>37</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AA6CC2">
        <w:rPr>
          <w:rFonts w:ascii="Times New Roman" w:eastAsia="SimSun" w:hAnsi="Times New Roman"/>
          <w:bCs/>
          <w:kern w:val="28"/>
          <w:sz w:val="28"/>
          <w:szCs w:val="28"/>
          <w:lang w:eastAsia="hi-IN" w:bidi="hi-IN"/>
        </w:rPr>
        <w:t xml:space="preserve"> Малогрибановского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bookmarkStart w:id="0" w:name="_GoBack"/>
      <w:bookmarkEnd w:id="0"/>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AA6CC2">
        <w:rPr>
          <w:rFonts w:ascii="Times New Roman" w:hAnsi="Times New Roman"/>
          <w:sz w:val="28"/>
          <w:szCs w:val="28"/>
        </w:rPr>
        <w:t xml:space="preserve"> Малогрибановского </w:t>
      </w:r>
      <w:r w:rsidR="00A709A6" w:rsidRPr="000D1AC7">
        <w:rPr>
          <w:rFonts w:ascii="Times New Roman" w:hAnsi="Times New Roman"/>
          <w:sz w:val="28"/>
          <w:szCs w:val="28"/>
        </w:rPr>
        <w:t xml:space="preserve">сельского поселения и размещения на официальном сайте </w:t>
      </w:r>
      <w:r w:rsidR="00AA6CC2">
        <w:rPr>
          <w:rFonts w:ascii="Times New Roman" w:hAnsi="Times New Roman"/>
          <w:sz w:val="28"/>
          <w:szCs w:val="28"/>
        </w:rPr>
        <w:t xml:space="preserve"> Малогрибановского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AA6CC2">
            <w:pPr>
              <w:ind w:firstLine="709"/>
              <w:rPr>
                <w:rFonts w:ascii="Times New Roman" w:hAnsi="Times New Roman"/>
                <w:sz w:val="28"/>
                <w:szCs w:val="28"/>
              </w:rPr>
            </w:pPr>
            <w:r>
              <w:rPr>
                <w:rFonts w:ascii="Times New Roman" w:hAnsi="Times New Roman"/>
                <w:sz w:val="28"/>
                <w:szCs w:val="28"/>
              </w:rPr>
              <w:t xml:space="preserve"> </w:t>
            </w:r>
            <w:r w:rsidR="00AA6CC2">
              <w:rPr>
                <w:rFonts w:ascii="Times New Roman" w:hAnsi="Times New Roman"/>
                <w:sz w:val="28"/>
                <w:szCs w:val="28"/>
              </w:rPr>
              <w:t xml:space="preserve"> Л.Н. Корнеева </w:t>
            </w:r>
            <w:r w:rsidR="00F7504A"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AA6CC2" w:rsidP="000D1AC7">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 </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AA6CC2">
        <w:rPr>
          <w:i w:val="0"/>
          <w:sz w:val="28"/>
          <w:szCs w:val="28"/>
        </w:rPr>
        <w:t xml:space="preserve"> Малогрибановского</w:t>
      </w:r>
      <w:r w:rsidR="00A709A6" w:rsidRPr="000D1AC7">
        <w:rPr>
          <w:i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AA6CC2">
        <w:rPr>
          <w:rFonts w:ascii="Times New Roman" w:hAnsi="Times New Roman"/>
          <w:sz w:val="28"/>
          <w:szCs w:val="28"/>
        </w:rPr>
        <w:t xml:space="preserve"> </w:t>
      </w:r>
      <w:r w:rsidR="00AA6CC2" w:rsidRPr="00AA6CC2">
        <w:rPr>
          <w:rFonts w:ascii="Times New Roman" w:hAnsi="Times New Roman"/>
          <w:sz w:val="28"/>
          <w:szCs w:val="28"/>
        </w:rPr>
        <w:t>Малогрибановского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на территории</w:t>
      </w:r>
      <w:r w:rsidR="00AA6CC2" w:rsidRPr="00AA6CC2">
        <w:rPr>
          <w:rFonts w:ascii="Times New Roman" w:hAnsi="Times New Roman"/>
          <w:sz w:val="28"/>
          <w:szCs w:val="28"/>
        </w:rPr>
        <w:t xml:space="preserve"> Малогрибановского</w:t>
      </w:r>
      <w:r w:rsidR="00F7504A" w:rsidRPr="000D1AC7">
        <w:rPr>
          <w:rFonts w:ascii="Times New Roman" w:hAnsi="Times New Roman"/>
          <w:sz w:val="28"/>
          <w:szCs w:val="28"/>
        </w:rPr>
        <w:t xml:space="preserve"> </w:t>
      </w:r>
      <w:r w:rsidR="00AA6CC2">
        <w:rPr>
          <w:rFonts w:ascii="Times New Roman" w:hAnsi="Times New Roman"/>
          <w:sz w:val="28"/>
          <w:szCs w:val="28"/>
        </w:rPr>
        <w:t xml:space="preserve"> </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AA6CC2" w:rsidRPr="00AA6CC2">
        <w:rPr>
          <w:rFonts w:ascii="Times New Roman" w:hAnsi="Times New Roman"/>
          <w:sz w:val="28"/>
          <w:szCs w:val="28"/>
        </w:rPr>
        <w:t>Малогрибановского</w:t>
      </w:r>
      <w:r w:rsidR="00AA6CC2">
        <w:rPr>
          <w:rFonts w:ascii="Times New Roman" w:hAnsi="Times New Roman"/>
          <w:sz w:val="28"/>
          <w:szCs w:val="28"/>
        </w:rPr>
        <w:t xml:space="preserve"> </w:t>
      </w:r>
      <w:r w:rsidR="00382241" w:rsidRPr="000D1AC7">
        <w:rPr>
          <w:rFonts w:ascii="Times New Roman" w:hAnsi="Times New Roman"/>
          <w:sz w:val="28"/>
          <w:szCs w:val="28"/>
        </w:rPr>
        <w:t xml:space="preserve"> сельского </w:t>
      </w:r>
      <w:r w:rsidR="00382241" w:rsidRPr="000D1AC7">
        <w:rPr>
          <w:rFonts w:ascii="Times New Roman" w:hAnsi="Times New Roman"/>
          <w:sz w:val="28"/>
          <w:szCs w:val="28"/>
        </w:rPr>
        <w:lastRenderedPageBreak/>
        <w:t>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AA6CC2" w:rsidRPr="00AA6CC2">
        <w:t xml:space="preserve"> </w:t>
      </w:r>
      <w:r w:rsidR="00AA6CC2" w:rsidRPr="00AA6CC2">
        <w:rPr>
          <w:rFonts w:ascii="Times New Roman" w:hAnsi="Times New Roman"/>
          <w:sz w:val="28"/>
          <w:szCs w:val="28"/>
        </w:rPr>
        <w:t>malogrib.grib@govvrn.ru</w:t>
      </w:r>
      <w:proofErr w:type="gramStart"/>
      <w:r w:rsidR="00AA6CC2">
        <w:rPr>
          <w:rFonts w:ascii="Times New Roman" w:hAnsi="Times New Roman"/>
          <w:sz w:val="28"/>
          <w:szCs w:val="28"/>
        </w:rPr>
        <w:t xml:space="preserve"> </w:t>
      </w:r>
      <w:r w:rsidR="00F7504A" w:rsidRPr="000D1AC7">
        <w:rPr>
          <w:rFonts w:ascii="Times New Roman" w:hAnsi="Times New Roman"/>
          <w:sz w:val="28"/>
          <w:szCs w:val="28"/>
        </w:rPr>
        <w:t>)</w:t>
      </w:r>
      <w:proofErr w:type="gramEnd"/>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lastRenderedPageBreak/>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AA6CC2">
        <w:rPr>
          <w:rFonts w:ascii="Times New Roman" w:hAnsi="Times New Roman"/>
          <w:sz w:val="28"/>
          <w:szCs w:val="28"/>
        </w:rPr>
        <w:t xml:space="preserve"> Малогрибановского </w:t>
      </w:r>
      <w:r w:rsidRPr="000D1AC7">
        <w:rPr>
          <w:rFonts w:ascii="Times New Roman" w:hAnsi="Times New Roman"/>
          <w:sz w:val="28"/>
          <w:szCs w:val="28"/>
        </w:rPr>
        <w:t>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решением Совета народных депутатов</w:t>
      </w:r>
      <w:r w:rsidR="00AA6CC2">
        <w:rPr>
          <w:rFonts w:ascii="Times New Roman" w:hAnsi="Times New Roman"/>
          <w:sz w:val="28"/>
          <w:szCs w:val="28"/>
        </w:rPr>
        <w:t xml:space="preserve"> </w:t>
      </w:r>
      <w:r w:rsidR="005F036F" w:rsidRPr="000D1AC7">
        <w:rPr>
          <w:rFonts w:ascii="Times New Roman" w:hAnsi="Times New Roman"/>
          <w:sz w:val="28"/>
          <w:szCs w:val="28"/>
        </w:rPr>
        <w:t xml:space="preserve"> </w:t>
      </w:r>
      <w:r w:rsidR="00AA6CC2">
        <w:rPr>
          <w:rFonts w:ascii="Times New Roman" w:hAnsi="Times New Roman"/>
          <w:sz w:val="28"/>
          <w:szCs w:val="28"/>
        </w:rPr>
        <w:t xml:space="preserve">Малогрибановского </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382241" w:rsidRPr="000D1AC7">
        <w:rPr>
          <w:rFonts w:ascii="Times New Roman" w:hAnsi="Times New Roman"/>
          <w:sz w:val="28"/>
          <w:szCs w:val="28"/>
        </w:rPr>
        <w:lastRenderedPageBreak/>
        <w:t xml:space="preserve">администрацией </w:t>
      </w:r>
      <w:r w:rsidR="00AA6CC2">
        <w:rPr>
          <w:rFonts w:ascii="Times New Roman" w:hAnsi="Times New Roman"/>
          <w:sz w:val="28"/>
          <w:szCs w:val="28"/>
        </w:rPr>
        <w:t xml:space="preserve"> Малогрибановского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AA6CC2">
        <w:rPr>
          <w:rFonts w:ascii="Times New Roman" w:hAnsi="Times New Roman"/>
          <w:sz w:val="28"/>
          <w:szCs w:val="28"/>
        </w:rPr>
        <w:t xml:space="preserve">Малогрибановского </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lastRenderedPageBreak/>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6.5.</w:t>
      </w:r>
      <w:r w:rsidRPr="000D1AC7">
        <w:rPr>
          <w:szCs w:val="28"/>
          <w:lang w:val="ru-RU"/>
        </w:rPr>
        <w:t xml:space="preserve">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AA6CC2">
        <w:rPr>
          <w:rFonts w:ascii="Times New Roman" w:hAnsi="Times New Roman"/>
          <w:sz w:val="28"/>
          <w:szCs w:val="28"/>
        </w:rPr>
        <w:t xml:space="preserve"> Малогрибановского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AA6CC2">
        <w:rPr>
          <w:rFonts w:ascii="Times New Roman" w:hAnsi="Times New Roman"/>
          <w:sz w:val="28"/>
          <w:szCs w:val="28"/>
        </w:rPr>
        <w:t xml:space="preserve">Малогрибановского </w:t>
      </w:r>
      <w:r w:rsidR="00986EA8"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r w:rsidR="00AA6CC2">
        <w:rPr>
          <w:sz w:val="28"/>
          <w:szCs w:val="28"/>
        </w:rPr>
        <w:t xml:space="preserve"> </w:t>
      </w:r>
      <w:proofErr w:type="spellStart"/>
      <w:r w:rsidR="00AA6CC2" w:rsidRPr="00AA6CC2">
        <w:rPr>
          <w:sz w:val="28"/>
          <w:szCs w:val="28"/>
        </w:rPr>
        <w:t>malogrib.grib@govvrn.ru</w:t>
      </w:r>
      <w:proofErr w:type="spellEnd"/>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w:t>
      </w:r>
      <w:r w:rsidR="0014514B" w:rsidRPr="000D1AC7">
        <w:rPr>
          <w:rFonts w:ascii="Times New Roman" w:hAnsi="Times New Roman"/>
          <w:sz w:val="28"/>
          <w:szCs w:val="28"/>
        </w:rPr>
        <w:lastRenderedPageBreak/>
        <w:t>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w:t>
      </w:r>
      <w:r w:rsidRPr="000D1AC7">
        <w:rPr>
          <w:rFonts w:ascii="Times New Roman" w:hAnsi="Times New Roman"/>
          <w:sz w:val="28"/>
          <w:szCs w:val="28"/>
        </w:rPr>
        <w:lastRenderedPageBreak/>
        <w:t xml:space="preserve">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0D1AC7">
        <w:rPr>
          <w:rFonts w:ascii="Times New Roman" w:eastAsia="Calibri" w:hAnsi="Times New Roman"/>
          <w:sz w:val="28"/>
          <w:szCs w:val="28"/>
        </w:rPr>
        <w:lastRenderedPageBreak/>
        <w:t>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AA6CC2">
        <w:rPr>
          <w:rFonts w:ascii="Times New Roman" w:hAnsi="Times New Roman"/>
          <w:sz w:val="28"/>
          <w:szCs w:val="28"/>
        </w:rPr>
        <w:t xml:space="preserve"> Малогрибановского </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AA6CC2">
        <w:rPr>
          <w:rFonts w:ascii="Times New Roman" w:hAnsi="Times New Roman"/>
          <w:sz w:val="28"/>
          <w:szCs w:val="28"/>
        </w:rPr>
        <w:t xml:space="preserve"> Малогрибановского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spellStart"/>
      <w:r w:rsidRPr="000D1AC7">
        <w:rPr>
          <w:rFonts w:ascii="Times New Roman" w:hAnsi="Times New Roman"/>
          <w:sz w:val="28"/>
          <w:szCs w:val="28"/>
          <w:lang w:val="en-US"/>
        </w:rPr>
        <w:t>pdf</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w:t>
      </w:r>
      <w:proofErr w:type="gramStart"/>
      <w:r w:rsidRPr="000D1AC7">
        <w:rPr>
          <w:rFonts w:ascii="Times New Roman" w:hAnsi="Times New Roman"/>
          <w:sz w:val="28"/>
          <w:szCs w:val="28"/>
        </w:rPr>
        <w:t>оформляется и направляется</w:t>
      </w:r>
      <w:proofErr w:type="gramEnd"/>
      <w:r w:rsidRPr="000D1AC7">
        <w:rPr>
          <w:rFonts w:ascii="Times New Roman" w:hAnsi="Times New Roman"/>
          <w:sz w:val="28"/>
          <w:szCs w:val="28"/>
        </w:rPr>
        <w:t xml:space="preserve"> Заявителю не позднее 5 рабочих дней с даты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AA6CC2">
        <w:rPr>
          <w:rFonts w:ascii="Times New Roman" w:hAnsi="Times New Roman"/>
          <w:sz w:val="28"/>
          <w:szCs w:val="28"/>
        </w:rPr>
        <w:t xml:space="preserve"> Малогрибановского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A6CC2">
        <w:rPr>
          <w:rFonts w:ascii="Times New Roman" w:hAnsi="Times New Roman"/>
          <w:sz w:val="28"/>
          <w:szCs w:val="28"/>
        </w:rPr>
        <w:t xml:space="preserve"> Малогрибановского</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A6CC2">
        <w:rPr>
          <w:sz w:val="28"/>
          <w:szCs w:val="28"/>
        </w:rPr>
        <w:t xml:space="preserve"> Малогрибановского</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В _______________________________</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AA6CC2">
      <w:headerReference w:type="default" r:id="rId8"/>
      <w:footerReference w:type="default" r:id="rId9"/>
      <w:footerReference w:type="first" r:id="rId10"/>
      <w:pgSz w:w="11906" w:h="16838"/>
      <w:pgMar w:top="127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083" w:rsidRDefault="00DA2083" w:rsidP="009476CE">
      <w:r>
        <w:separator/>
      </w:r>
    </w:p>
  </w:endnote>
  <w:endnote w:type="continuationSeparator" w:id="0">
    <w:p w:rsidR="00DA2083" w:rsidRDefault="00DA208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AA6CC2" w:rsidRDefault="00AA6CC2">
        <w:pPr>
          <w:pStyle w:val="ab"/>
          <w:jc w:val="center"/>
        </w:pPr>
        <w:fldSimple w:instr="PAGE   \* MERGEFORMAT">
          <w:r w:rsidR="00E504FE">
            <w:rPr>
              <w:noProof/>
            </w:rPr>
            <w:t>4</w:t>
          </w:r>
        </w:fldSimple>
      </w:p>
    </w:sdtContent>
  </w:sdt>
  <w:p w:rsidR="00AA6CC2" w:rsidRDefault="00AA6CC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AA6CC2" w:rsidRDefault="00AA6CC2">
        <w:pPr>
          <w:pStyle w:val="ab"/>
          <w:jc w:val="center"/>
        </w:pPr>
        <w:fldSimple w:instr="PAGE   \* MERGEFORMAT">
          <w:r w:rsidR="00E504FE">
            <w:rPr>
              <w:noProof/>
            </w:rPr>
            <w:t>1</w:t>
          </w:r>
        </w:fldSimple>
      </w:p>
    </w:sdtContent>
  </w:sdt>
  <w:p w:rsidR="00AA6CC2" w:rsidRDefault="00AA6CC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083" w:rsidRDefault="00DA2083" w:rsidP="009476CE">
      <w:r>
        <w:separator/>
      </w:r>
    </w:p>
  </w:footnote>
  <w:footnote w:type="continuationSeparator" w:id="0">
    <w:p w:rsidR="00DA2083" w:rsidRDefault="00DA208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A6CC2" w:rsidRDefault="00AA6CC2">
        <w:pPr>
          <w:pStyle w:val="a9"/>
          <w:jc w:val="center"/>
        </w:pPr>
        <w:fldSimple w:instr="PAGE   \* MERGEFORMAT">
          <w:r w:rsidR="00E504FE">
            <w:rPr>
              <w:noProof/>
            </w:rPr>
            <w:t>4</w:t>
          </w:r>
        </w:fldSimple>
      </w:p>
    </w:sdtContent>
  </w:sdt>
  <w:p w:rsidR="00AA6CC2" w:rsidRDefault="00AA6C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67363"/>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6CC2"/>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2083"/>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04FE"/>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D0F5-6A04-4502-8B84-065C67C4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57</Pages>
  <Words>16914</Words>
  <Characters>96412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Malogrib</cp:lastModifiedBy>
  <cp:revision>22</cp:revision>
  <cp:lastPrinted>2023-06-18T09:43:00Z</cp:lastPrinted>
  <dcterms:created xsi:type="dcterms:W3CDTF">2023-07-24T15:02:00Z</dcterms:created>
  <dcterms:modified xsi:type="dcterms:W3CDTF">2023-08-24T13:52:00Z</dcterms:modified>
</cp:coreProperties>
</file>