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E97BEC" w:rsidP="00FA595B">
      <w:pPr>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 xml:space="preserve">с. </w:t>
      </w:r>
      <w:r w:rsidR="00E97BEC">
        <w:rPr>
          <w:rFonts w:ascii="Times New Roman" w:hAnsi="Times New Roman"/>
          <w:sz w:val="28"/>
          <w:szCs w:val="28"/>
        </w:rPr>
        <w:t xml:space="preserve"> М. Грибановка</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E97BEC">
        <w:rPr>
          <w:rFonts w:ascii="Times New Roman" w:hAnsi="Times New Roman"/>
          <w:sz w:val="28"/>
          <w:szCs w:val="28"/>
        </w:rPr>
        <w:t xml:space="preserve"> Малогрибановского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97BEC">
        <w:rPr>
          <w:rFonts w:ascii="Times New Roman" w:hAnsi="Times New Roman"/>
          <w:sz w:val="28"/>
          <w:szCs w:val="28"/>
        </w:rPr>
        <w:t xml:space="preserve"> Малогрибановского </w:t>
      </w:r>
      <w:r w:rsidR="00AE674A"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E97BEC">
        <w:rPr>
          <w:rFonts w:eastAsia="Times New Roman"/>
          <w:lang w:eastAsia="ru-RU"/>
        </w:rPr>
        <w:t xml:space="preserve"> Малогрибановского </w:t>
      </w:r>
      <w:r w:rsidR="00AE674A" w:rsidRPr="00C001D8">
        <w:rPr>
          <w:rFonts w:eastAsia="Times New Roman"/>
          <w:lang w:eastAsia="ru-RU"/>
        </w:rPr>
        <w:t>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E97BEC">
        <w:rPr>
          <w:rFonts w:ascii="Times New Roman" w:hAnsi="Times New Roman"/>
          <w:sz w:val="28"/>
          <w:szCs w:val="28"/>
        </w:rPr>
        <w:t xml:space="preserve"> Малогрибановского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AE504D" w:rsidP="00FA59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«25</w:t>
      </w:r>
      <w:r w:rsidR="00CD2D55" w:rsidRPr="00C001D8">
        <w:rPr>
          <w:rFonts w:ascii="Times New Roman" w:hAnsi="Times New Roman" w:cs="Times New Roman"/>
          <w:b w:val="0"/>
          <w:sz w:val="28"/>
          <w:szCs w:val="28"/>
        </w:rPr>
        <w:t>»</w:t>
      </w:r>
      <w:r>
        <w:rPr>
          <w:rFonts w:ascii="Times New Roman" w:hAnsi="Times New Roman" w:cs="Times New Roman"/>
          <w:b w:val="0"/>
          <w:sz w:val="28"/>
          <w:szCs w:val="28"/>
        </w:rPr>
        <w:t xml:space="preserve"> декабря </w:t>
      </w:r>
      <w:r w:rsidR="00FA595B" w:rsidRPr="00C001D8">
        <w:rPr>
          <w:rFonts w:ascii="Times New Roman" w:hAnsi="Times New Roman" w:cs="Times New Roman"/>
          <w:b w:val="0"/>
          <w:sz w:val="28"/>
          <w:szCs w:val="28"/>
        </w:rPr>
        <w:t xml:space="preserve">2015 </w:t>
      </w:r>
      <w:r>
        <w:rPr>
          <w:rFonts w:ascii="Times New Roman" w:hAnsi="Times New Roman" w:cs="Times New Roman"/>
          <w:b w:val="0"/>
          <w:sz w:val="28"/>
          <w:szCs w:val="28"/>
        </w:rPr>
        <w:t>г. № 101</w:t>
      </w:r>
      <w:r w:rsidR="00CD2D55"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97BEC">
        <w:rPr>
          <w:rFonts w:ascii="Times New Roman" w:eastAsia="SimSun" w:hAnsi="Times New Roman" w:cs="Times New Roman"/>
          <w:b w:val="0"/>
          <w:sz w:val="28"/>
          <w:szCs w:val="28"/>
          <w:lang w:eastAsia="hi-IN" w:bidi="hi-IN"/>
        </w:rPr>
        <w:t xml:space="preserve"> Малогрибановского </w:t>
      </w:r>
      <w:r w:rsidR="00FA595B" w:rsidRPr="00C001D8">
        <w:rPr>
          <w:rFonts w:ascii="Times New Roman" w:eastAsia="SimSun" w:hAnsi="Times New Roman" w:cs="Times New Roman"/>
          <w:b w:val="0"/>
          <w:sz w:val="28"/>
          <w:szCs w:val="28"/>
          <w:lang w:eastAsia="hi-IN" w:bidi="hi-IN"/>
        </w:rPr>
        <w:t xml:space="preserve"> сельского поселения по </w:t>
      </w:r>
      <w:r w:rsidR="00FA595B" w:rsidRPr="00C001D8">
        <w:rPr>
          <w:rFonts w:ascii="Times New Roman" w:eastAsia="SimSun" w:hAnsi="Times New Roman" w:cs="Times New Roman"/>
          <w:b w:val="0"/>
          <w:sz w:val="28"/>
          <w:szCs w:val="28"/>
          <w:lang w:eastAsia="hi-IN" w:bidi="hi-IN"/>
        </w:rPr>
        <w:lastRenderedPageBreak/>
        <w:t>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00CD2D55" w:rsidRPr="00C001D8">
        <w:rPr>
          <w:rFonts w:ascii="Times New Roman" w:hAnsi="Times New Roman" w:cs="Times New Roman"/>
          <w:b w:val="0"/>
          <w:sz w:val="28"/>
          <w:szCs w:val="28"/>
        </w:rPr>
        <w:t>;</w:t>
      </w:r>
    </w:p>
    <w:p w:rsidR="00CD2D55" w:rsidRPr="00C001D8" w:rsidRDefault="004901A3" w:rsidP="00FA595B">
      <w:pPr>
        <w:autoSpaceDE w:val="0"/>
        <w:autoSpaceDN w:val="0"/>
        <w:adjustRightInd w:val="0"/>
        <w:ind w:firstLine="709"/>
        <w:rPr>
          <w:rFonts w:ascii="Times New Roman" w:hAnsi="Times New Roman"/>
          <w:sz w:val="28"/>
          <w:szCs w:val="28"/>
        </w:rPr>
      </w:pPr>
      <w:r>
        <w:rPr>
          <w:rFonts w:ascii="Times New Roman" w:hAnsi="Times New Roman"/>
          <w:sz w:val="28"/>
          <w:szCs w:val="28"/>
        </w:rPr>
        <w:t>- от «26</w:t>
      </w:r>
      <w:r w:rsidR="00CD2D55" w:rsidRPr="00C001D8">
        <w:rPr>
          <w:rFonts w:ascii="Times New Roman" w:hAnsi="Times New Roman"/>
          <w:sz w:val="28"/>
          <w:szCs w:val="28"/>
        </w:rPr>
        <w:t>»</w:t>
      </w:r>
      <w:r>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00CD2D55" w:rsidRPr="00C001D8">
        <w:rPr>
          <w:rFonts w:ascii="Times New Roman" w:hAnsi="Times New Roman"/>
          <w:sz w:val="28"/>
          <w:szCs w:val="28"/>
        </w:rPr>
        <w:t>г. №</w:t>
      </w:r>
      <w:r w:rsidR="00CB3ED7" w:rsidRPr="00C001D8">
        <w:rPr>
          <w:rFonts w:ascii="Times New Roman" w:hAnsi="Times New Roman"/>
          <w:sz w:val="28"/>
          <w:szCs w:val="28"/>
        </w:rPr>
        <w:t xml:space="preserve"> </w:t>
      </w:r>
      <w:r>
        <w:rPr>
          <w:rFonts w:ascii="Times New Roman" w:hAnsi="Times New Roman"/>
          <w:sz w:val="28"/>
          <w:szCs w:val="28"/>
        </w:rPr>
        <w:t xml:space="preserve"> 25</w:t>
      </w:r>
      <w:r w:rsidR="00CD2D55"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E97BEC">
        <w:rPr>
          <w:rFonts w:ascii="Times New Roman" w:hAnsi="Times New Roman"/>
          <w:sz w:val="28"/>
          <w:szCs w:val="28"/>
        </w:rPr>
        <w:t xml:space="preserve"> Малогрибановского </w:t>
      </w:r>
      <w:r w:rsidR="00FA595B" w:rsidRPr="00C001D8">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E97BEC">
        <w:rPr>
          <w:rFonts w:ascii="Times New Roman" w:hAnsi="Times New Roman"/>
          <w:sz w:val="28"/>
          <w:szCs w:val="28"/>
        </w:rPr>
        <w:t xml:space="preserve"> Малогрибановского </w:t>
      </w:r>
      <w:r w:rsidR="00FA595B" w:rsidRPr="00C001D8">
        <w:rPr>
          <w:rFonts w:ascii="Times New Roman" w:hAnsi="Times New Roman"/>
          <w:sz w:val="28"/>
          <w:szCs w:val="28"/>
        </w:rPr>
        <w:t xml:space="preserve"> сельского поселения Грибановского муниципальн</w:t>
      </w:r>
      <w:r w:rsidR="00AE504D">
        <w:rPr>
          <w:rFonts w:ascii="Times New Roman" w:hAnsi="Times New Roman"/>
          <w:sz w:val="28"/>
          <w:szCs w:val="28"/>
        </w:rPr>
        <w:t>ого района от  25.12.2015 № 101</w:t>
      </w:r>
      <w:r w:rsidR="00CD2D55"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E97BEC">
        <w:rPr>
          <w:rFonts w:ascii="Times New Roman" w:hAnsi="Times New Roman"/>
          <w:sz w:val="28"/>
          <w:szCs w:val="28"/>
        </w:rPr>
        <w:t xml:space="preserve"> Малогрибановского </w:t>
      </w:r>
      <w:r w:rsidRPr="00C001D8">
        <w:rPr>
          <w:rFonts w:ascii="Times New Roman" w:hAnsi="Times New Roman"/>
          <w:sz w:val="28"/>
          <w:szCs w:val="28"/>
        </w:rPr>
        <w:t xml:space="preserve"> сельского поселения и размещения на официальном сайте </w:t>
      </w:r>
      <w:r w:rsidR="00E97BEC">
        <w:rPr>
          <w:rFonts w:ascii="Times New Roman" w:hAnsi="Times New Roman"/>
          <w:sz w:val="28"/>
          <w:szCs w:val="28"/>
        </w:rPr>
        <w:t xml:space="preserve"> Малогрибановского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E97BEC" w:rsidP="00FA595B">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Л.Н. Корнеева</w:t>
            </w:r>
            <w:r w:rsidR="00FA595B"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E97BEC" w:rsidP="00FA595B">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 </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E97BEC">
        <w:rPr>
          <w:i w:val="0"/>
          <w:sz w:val="28"/>
          <w:szCs w:val="28"/>
        </w:rPr>
        <w:t xml:space="preserve"> Малогрибановского </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E97BEC">
        <w:rPr>
          <w:i w:val="0"/>
          <w:sz w:val="28"/>
          <w:szCs w:val="28"/>
        </w:rPr>
        <w:t xml:space="preserve"> Малогрибановского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E97BEC">
        <w:rPr>
          <w:i w:val="0"/>
          <w:sz w:val="28"/>
          <w:szCs w:val="28"/>
        </w:rPr>
        <w:t xml:space="preserve"> Малогрибановского </w:t>
      </w:r>
      <w:r w:rsidR="00FA595B" w:rsidRPr="00C001D8">
        <w:rPr>
          <w:i w:val="0"/>
          <w:sz w:val="28"/>
          <w:szCs w:val="28"/>
        </w:rPr>
        <w:t>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E97BEC">
        <w:rPr>
          <w:sz w:val="28"/>
          <w:szCs w:val="28"/>
        </w:rPr>
        <w:t xml:space="preserve"> Малогрибановского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E97BEC">
        <w:rPr>
          <w:sz w:val="28"/>
          <w:szCs w:val="28"/>
        </w:rPr>
        <w:t xml:space="preserve"> Малогрибановского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w:t>
      </w:r>
      <w:r w:rsidRPr="00C001D8">
        <w:rPr>
          <w:sz w:val="28"/>
          <w:szCs w:val="28"/>
        </w:rPr>
        <w:lastRenderedPageBreak/>
        <w:t>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AE504D">
        <w:rPr>
          <w:sz w:val="28"/>
          <w:szCs w:val="28"/>
        </w:rPr>
        <w:t xml:space="preserve"> Малогрибановского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r w:rsidR="00AE504D">
        <w:rPr>
          <w:sz w:val="28"/>
          <w:szCs w:val="28"/>
        </w:rPr>
        <w:t xml:space="preserve"> </w:t>
      </w:r>
      <w:proofErr w:type="spellStart"/>
      <w:r w:rsidR="00AE504D" w:rsidRPr="00AE504D">
        <w:rPr>
          <w:sz w:val="28"/>
          <w:szCs w:val="28"/>
        </w:rPr>
        <w:t>malogrib.grib@govvrn.ru</w:t>
      </w:r>
      <w:proofErr w:type="spellEnd"/>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w:t>
      </w:r>
      <w:proofErr w:type="gramEnd"/>
      <w:r w:rsidR="00151683" w:rsidRPr="00C001D8">
        <w:rPr>
          <w:sz w:val="28"/>
          <w:szCs w:val="28"/>
        </w:rPr>
        <w:t xml:space="preserve"> портал, РПГУ)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lastRenderedPageBreak/>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00CD2D55" w:rsidRPr="00C001D8">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AE504D">
        <w:rPr>
          <w:sz w:val="28"/>
          <w:szCs w:val="28"/>
        </w:rPr>
        <w:t xml:space="preserve"> Малогрибановского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AE504D">
        <w:rPr>
          <w:rFonts w:ascii="Times New Roman" w:hAnsi="Times New Roman"/>
          <w:sz w:val="28"/>
          <w:szCs w:val="28"/>
        </w:rPr>
        <w:t xml:space="preserve"> Малогрибановского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AE504D">
        <w:rPr>
          <w:rFonts w:ascii="Times New Roman" w:hAnsi="Times New Roman"/>
          <w:sz w:val="28"/>
          <w:szCs w:val="28"/>
        </w:rPr>
        <w:t xml:space="preserve"> Малогрибановского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w:t>
      </w:r>
      <w:r w:rsidR="00F85360" w:rsidRPr="00C001D8">
        <w:rPr>
          <w:rFonts w:ascii="Times New Roman" w:hAnsi="Times New Roman"/>
          <w:sz w:val="28"/>
          <w:szCs w:val="28"/>
        </w:rPr>
        <w:lastRenderedPageBreak/>
        <w:t>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AE504D">
        <w:rPr>
          <w:rFonts w:ascii="Times New Roman" w:eastAsia="Arial Unicode MS" w:hAnsi="Times New Roman"/>
          <w:color w:val="000000"/>
          <w:sz w:val="28"/>
          <w:szCs w:val="28"/>
          <w:lang w:bidi="ru-RU"/>
        </w:rPr>
        <w:t xml:space="preserve"> Малогрибановского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AE504D">
        <w:rPr>
          <w:rFonts w:ascii="Times New Roman" w:eastAsia="Arial Unicode MS" w:hAnsi="Times New Roman"/>
          <w:color w:val="000000"/>
          <w:sz w:val="28"/>
          <w:szCs w:val="28"/>
          <w:lang w:bidi="ru-RU"/>
        </w:rPr>
        <w:t xml:space="preserve"> Малогрибановского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r w:rsidR="00AE504D">
        <w:rPr>
          <w:sz w:val="28"/>
          <w:szCs w:val="28"/>
        </w:rPr>
        <w:t xml:space="preserve"> </w:t>
      </w:r>
      <w:proofErr w:type="spellStart"/>
      <w:r w:rsidR="00AE504D" w:rsidRPr="00AE504D">
        <w:rPr>
          <w:sz w:val="28"/>
          <w:szCs w:val="28"/>
        </w:rPr>
        <w:t>malogrib.grib@govvrn.ru</w:t>
      </w:r>
      <w:proofErr w:type="spellEnd"/>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w:t>
      </w:r>
      <w:r w:rsidRPr="00C001D8">
        <w:rPr>
          <w:sz w:val="28"/>
          <w:szCs w:val="28"/>
        </w:rPr>
        <w:lastRenderedPageBreak/>
        <w:t>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C001D8">
        <w:rPr>
          <w:rFonts w:ascii="Times New Roman" w:eastAsiaTheme="minorHAnsi" w:hAnsi="Times New Roman"/>
          <w:sz w:val="28"/>
          <w:szCs w:val="28"/>
        </w:rPr>
        <w:lastRenderedPageBreak/>
        <w:t>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xml:space="preserve">, если имеется возможность организации стоянки (парковки) возле здания (строения), в котором размещено помещение </w:t>
      </w:r>
      <w:r w:rsidR="00CD2D55" w:rsidRPr="00C001D8">
        <w:rPr>
          <w:sz w:val="28"/>
          <w:szCs w:val="28"/>
        </w:rPr>
        <w:lastRenderedPageBreak/>
        <w:t>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lastRenderedPageBreak/>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proofErr w:type="spellStart"/>
      <w:r w:rsidRPr="00C001D8">
        <w:rPr>
          <w:sz w:val="28"/>
          <w:szCs w:val="28"/>
          <w:lang w:val="en-US"/>
        </w:rPr>
        <w:t>pdf</w:t>
      </w:r>
      <w:proofErr w:type="spellEnd"/>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1" w:name="bookmark1"/>
      <w:r w:rsidRPr="00C001D8">
        <w:rPr>
          <w:b w:val="0"/>
          <w:sz w:val="28"/>
          <w:szCs w:val="28"/>
          <w:lang w:val="en-US"/>
        </w:rPr>
        <w:lastRenderedPageBreak/>
        <w:t>III</w:t>
      </w:r>
      <w:r w:rsidRPr="00C001D8">
        <w:rPr>
          <w:b w:val="0"/>
          <w:sz w:val="28"/>
          <w:szCs w:val="28"/>
        </w:rPr>
        <w:t xml:space="preserve">. </w:t>
      </w:r>
      <w:bookmarkEnd w:id="1"/>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w:t>
      </w:r>
      <w:r w:rsidR="00E10457" w:rsidRPr="00C001D8">
        <w:rPr>
          <w:rFonts w:ascii="Times New Roman" w:eastAsiaTheme="minorHAnsi" w:hAnsi="Times New Roman"/>
          <w:sz w:val="28"/>
          <w:szCs w:val="28"/>
        </w:rPr>
        <w:lastRenderedPageBreak/>
        <w:t xml:space="preserve">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2"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2"/>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CD2D55" w:rsidRPr="00C001D8">
        <w:rPr>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lastRenderedPageBreak/>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E504D">
        <w:rPr>
          <w:rFonts w:eastAsia="Arial Unicode MS"/>
          <w:color w:val="000000"/>
          <w:spacing w:val="0"/>
          <w:sz w:val="28"/>
          <w:szCs w:val="28"/>
          <w:lang w:eastAsia="ru-RU" w:bidi="ru-RU"/>
        </w:rPr>
        <w:t xml:space="preserve"> Малогрибановского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E504D">
        <w:rPr>
          <w:rFonts w:eastAsia="Arial Unicode MS"/>
          <w:color w:val="000000"/>
          <w:spacing w:val="0"/>
          <w:sz w:val="28"/>
          <w:szCs w:val="28"/>
          <w:lang w:eastAsia="ru-RU" w:bidi="ru-RU"/>
        </w:rPr>
        <w:t xml:space="preserve"> Малогрибановского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bookmarkStart w:id="3" w:name="_GoBack"/>
      <w:bookmarkEnd w:id="3"/>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w:t>
      </w:r>
      <w:r w:rsidR="00CD2D55" w:rsidRPr="00C001D8">
        <w:rPr>
          <w:rStyle w:val="0pt"/>
          <w:color w:val="auto"/>
          <w:sz w:val="28"/>
          <w:szCs w:val="28"/>
        </w:rPr>
        <w:lastRenderedPageBreak/>
        <w:t xml:space="preserve">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w:t>
      </w:r>
      <w:r w:rsidRPr="00C001D8">
        <w:rPr>
          <w:rFonts w:ascii="Times New Roman" w:hAnsi="Times New Roman"/>
          <w:sz w:val="28"/>
          <w:szCs w:val="28"/>
        </w:rPr>
        <w:lastRenderedPageBreak/>
        <w:t xml:space="preserve">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lastRenderedPageBreak/>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lastRenderedPageBreak/>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lastRenderedPageBreak/>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 xml:space="preserve">3. Принятие решения об отказе в </w:t>
            </w:r>
            <w:r w:rsidRPr="00C001D8">
              <w:rPr>
                <w:lang w:eastAsia="ru-RU" w:bidi="ru-RU"/>
              </w:rPr>
              <w:lastRenderedPageBreak/>
              <w:t>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AE504D">
      <w:pgSz w:w="11906" w:h="16838"/>
      <w:pgMar w:top="141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901A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5D6F4E"/>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504D"/>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97BEC"/>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3F96-813A-4EE6-A7AC-4B2489ED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45</Pages>
  <Words>13627</Words>
  <Characters>77678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Malogrib</cp:lastModifiedBy>
  <cp:revision>34</cp:revision>
  <cp:lastPrinted>2023-07-12T10:30:00Z</cp:lastPrinted>
  <dcterms:created xsi:type="dcterms:W3CDTF">2023-04-11T13:48:00Z</dcterms:created>
  <dcterms:modified xsi:type="dcterms:W3CDTF">2023-10-23T12:04:00Z</dcterms:modified>
</cp:coreProperties>
</file>